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w:t>
      </w:r>
      <w:r>
        <w:rPr>
          <w:rFonts w:hint="eastAsia"/>
          <w:b/>
          <w:sz w:val="36"/>
          <w:lang w:eastAsia="zh-CN"/>
        </w:rPr>
        <w:t>核工程</w:t>
      </w:r>
      <w:r>
        <w:rPr>
          <w:rFonts w:hint="eastAsia"/>
          <w:b/>
          <w:sz w:val="36"/>
          <w:lang w:val="en-US" w:eastAsia="zh-CN"/>
        </w:rPr>
        <w:t>不锈钢建造双钨极热丝TIG焊施工工艺规程</w:t>
      </w:r>
      <w:r>
        <w:rPr>
          <w:rFonts w:hint="eastAsia"/>
          <w:b/>
          <w:sz w:val="36"/>
        </w:rPr>
        <w:t>》编制说明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rPr>
          <w:b/>
        </w:rPr>
      </w:pPr>
      <w:r>
        <w:rPr>
          <w:rFonts w:hint="eastAsia"/>
          <w:b/>
        </w:rPr>
        <w:t>1、任务来源</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eastAsia="zh-CN" w:bidi="en-US"/>
        </w:rPr>
        <w:t>《核工程</w:t>
      </w:r>
      <w:r>
        <w:rPr>
          <w:rFonts w:hint="eastAsia" w:ascii="宋体" w:hAnsi="宋体" w:eastAsia="宋体" w:cs="宋体"/>
          <w:kern w:val="0"/>
          <w:sz w:val="24"/>
          <w:szCs w:val="24"/>
          <w:lang w:val="en-US" w:eastAsia="zh-CN" w:bidi="en-US"/>
        </w:rPr>
        <w:t>不锈钢建造双钨极热丝TIG焊施工工艺规程</w:t>
      </w:r>
      <w:r>
        <w:rPr>
          <w:rFonts w:hint="eastAsia" w:ascii="宋体" w:hAnsi="宋体" w:eastAsia="宋体" w:cs="宋体"/>
          <w:kern w:val="0"/>
          <w:sz w:val="24"/>
          <w:szCs w:val="24"/>
          <w:lang w:eastAsia="zh-CN" w:bidi="en-US"/>
        </w:rPr>
        <w:t>》，</w:t>
      </w:r>
      <w:r>
        <w:rPr>
          <w:rFonts w:hint="eastAsia" w:ascii="宋体" w:hAnsi="宋体" w:eastAsia="宋体" w:cs="宋体"/>
          <w:kern w:val="0"/>
          <w:sz w:val="24"/>
          <w:szCs w:val="24"/>
          <w:lang w:val="en-US" w:eastAsia="zh-CN" w:bidi="en-US"/>
        </w:rPr>
        <w:t>由</w:t>
      </w:r>
      <w:r>
        <w:rPr>
          <w:rFonts w:hint="eastAsia"/>
        </w:rPr>
        <w:t>中国核工业华兴建设有限公司</w:t>
      </w:r>
      <w:r>
        <w:rPr>
          <w:rFonts w:hint="eastAsia"/>
          <w:lang w:val="en-US" w:eastAsia="zh-CN"/>
        </w:rPr>
        <w:t>主编，</w:t>
      </w:r>
      <w:r>
        <w:rPr>
          <w:rFonts w:hint="eastAsia" w:hAnsi="Times New Roman" w:eastAsia="宋体" w:cs="Times New Roman"/>
          <w:lang w:val="en-US" w:eastAsia="zh-CN"/>
        </w:rPr>
        <w:t>中广核工程有限公司、中国核电工程有限公司</w:t>
      </w:r>
      <w:r>
        <w:rPr>
          <w:rFonts w:hint="eastAsia" w:hAnsi="Times New Roman" w:cs="Times New Roman"/>
          <w:lang w:val="en-US" w:eastAsia="zh-CN"/>
        </w:rPr>
        <w:t>参编</w:t>
      </w:r>
      <w:r>
        <w:rPr>
          <w:rFonts w:hint="eastAsia" w:ascii="宋体" w:hAnsi="宋体" w:eastAsia="宋体" w:cs="宋体"/>
          <w:kern w:val="0"/>
          <w:sz w:val="24"/>
          <w:szCs w:val="24"/>
          <w:lang w:val="en-US" w:eastAsia="zh-CN" w:bidi="en-US"/>
        </w:rPr>
        <w:t>。</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kern w:val="0"/>
          <w:sz w:val="24"/>
          <w:szCs w:val="24"/>
          <w:lang w:eastAsia="zh-CN" w:bidi="en-US"/>
        </w:rPr>
      </w:pPr>
      <w:r>
        <w:rPr>
          <w:rFonts w:hint="eastAsia" w:ascii="宋体" w:hAnsi="宋体" w:eastAsia="宋体" w:cs="宋体"/>
          <w:kern w:val="0"/>
          <w:sz w:val="24"/>
          <w:szCs w:val="24"/>
          <w:lang w:val="en-US" w:eastAsia="zh-CN" w:bidi="en-US"/>
        </w:rPr>
        <w:t>该标准经过中国核能行业协会评审并经过公示后予以立项，并由中国核工业华兴建设有限公司与中国核能行业协会签订《</w:t>
      </w:r>
      <w:r>
        <w:rPr>
          <w:rFonts w:hint="eastAsia" w:ascii="宋体" w:hAnsi="宋体" w:eastAsia="宋体" w:cs="宋体"/>
          <w:kern w:val="0"/>
          <w:sz w:val="24"/>
          <w:szCs w:val="24"/>
          <w:lang w:eastAsia="zh-CN" w:bidi="en-US"/>
        </w:rPr>
        <w:t>中国核能行业协会团体标准制修订专项技术服务</w:t>
      </w:r>
      <w:r>
        <w:rPr>
          <w:rFonts w:hint="eastAsia" w:ascii="宋体" w:hAnsi="宋体" w:eastAsia="宋体" w:cs="宋体"/>
          <w:kern w:val="0"/>
          <w:sz w:val="24"/>
          <w:szCs w:val="24"/>
          <w:lang w:val="en-US" w:eastAsia="zh-CN" w:bidi="en-US"/>
        </w:rPr>
        <w:t>合同》。</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团体标准《</w:t>
      </w:r>
      <w:r>
        <w:rPr>
          <w:rFonts w:hint="eastAsia" w:ascii="宋体" w:hAnsi="宋体" w:eastAsia="宋体" w:cs="宋体"/>
          <w:kern w:val="0"/>
          <w:sz w:val="24"/>
          <w:szCs w:val="24"/>
          <w:lang w:eastAsia="zh-CN" w:bidi="en-US"/>
        </w:rPr>
        <w:t>核工程</w:t>
      </w:r>
      <w:r>
        <w:rPr>
          <w:rFonts w:hint="eastAsia" w:ascii="宋体" w:hAnsi="宋体" w:eastAsia="宋体" w:cs="宋体"/>
          <w:kern w:val="0"/>
          <w:sz w:val="24"/>
          <w:szCs w:val="24"/>
          <w:lang w:val="en-US" w:eastAsia="zh-CN" w:bidi="en-US"/>
        </w:rPr>
        <w:t>不锈钢建造双钨极热丝TIG焊施工工艺规程》系列标准编制周期为18个月，自2022 年6月28日至2023年12月25日，其中项目的节点要求如下：</w:t>
      </w:r>
    </w:p>
    <w:p>
      <w:pPr>
        <w:rPr>
          <w:b/>
        </w:rPr>
      </w:pPr>
      <w:r>
        <w:rPr>
          <w:rFonts w:hint="eastAsia"/>
          <w:b/>
        </w:rPr>
        <w:t>2、主要工作过程</w:t>
      </w:r>
    </w:p>
    <w:p>
      <w:pPr>
        <w:keepNext w:val="0"/>
        <w:keepLines w:val="0"/>
        <w:pageBreakBefore w:val="0"/>
        <w:widowControl/>
        <w:numPr>
          <w:ilvl w:val="0"/>
          <w:numId w:val="2"/>
        </w:numPr>
        <w:suppressLineNumbers w:val="0"/>
        <w:kinsoku/>
        <w:wordWrap/>
        <w:overflowPunct/>
        <w:topLinePunct w:val="0"/>
        <w:autoSpaceDE/>
        <w:autoSpaceDN/>
        <w:bidi w:val="0"/>
        <w:adjustRightInd/>
        <w:snapToGrid/>
        <w:ind w:left="425" w:leftChars="0" w:hanging="425" w:firstLineChars="0"/>
        <w:jc w:val="left"/>
        <w:textAlignment w:val="auto"/>
        <w:rPr>
          <w:rFonts w:hint="eastAsia" w:ascii="宋体" w:hAnsi="宋体" w:eastAsia="宋体" w:cs="宋体"/>
        </w:rPr>
      </w:pPr>
      <w:r>
        <w:rPr>
          <w:rFonts w:hint="eastAsia" w:ascii="宋体" w:hAnsi="宋体" w:eastAsia="宋体" w:cs="宋体"/>
          <w:color w:val="000000"/>
          <w:kern w:val="0"/>
          <w:sz w:val="24"/>
          <w:szCs w:val="24"/>
          <w:lang w:val="en-US" w:eastAsia="zh-CN" w:bidi="ar"/>
        </w:rPr>
        <w:t>标准起草阶段</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cs="宋体"/>
          <w:kern w:val="0"/>
          <w:sz w:val="24"/>
          <w:szCs w:val="24"/>
          <w:highlight w:val="none"/>
          <w:lang w:eastAsia="zh-CN" w:bidi="en-US"/>
        </w:rPr>
      </w:pPr>
      <w:r>
        <w:rPr>
          <w:rFonts w:hint="eastAsia" w:ascii="宋体" w:hAnsi="宋体" w:eastAsia="宋体" w:cs="宋体"/>
          <w:kern w:val="0"/>
          <w:sz w:val="24"/>
          <w:szCs w:val="24"/>
          <w:highlight w:val="none"/>
          <w:lang w:eastAsia="zh-CN" w:bidi="en-US"/>
        </w:rPr>
        <w:t>首先，成立标准编制工作组，其次，</w:t>
      </w:r>
      <w:r>
        <w:rPr>
          <w:rFonts w:hint="eastAsia" w:cs="宋体"/>
          <w:kern w:val="0"/>
          <w:sz w:val="24"/>
          <w:szCs w:val="24"/>
          <w:highlight w:val="none"/>
          <w:lang w:val="en-US" w:eastAsia="zh-CN" w:bidi="en-US"/>
        </w:rPr>
        <w:t>工作</w:t>
      </w:r>
      <w:r>
        <w:rPr>
          <w:rFonts w:hint="eastAsia" w:ascii="宋体" w:hAnsi="宋体" w:eastAsia="宋体" w:cs="宋体"/>
          <w:kern w:val="0"/>
          <w:sz w:val="24"/>
          <w:szCs w:val="24"/>
          <w:highlight w:val="none"/>
          <w:lang w:eastAsia="zh-CN" w:bidi="en-US"/>
        </w:rPr>
        <w:t>组对国内核工程</w:t>
      </w:r>
      <w:r>
        <w:rPr>
          <w:rFonts w:hint="eastAsia" w:ascii="宋体" w:hAnsi="宋体" w:eastAsia="宋体" w:cs="宋体"/>
          <w:kern w:val="0"/>
          <w:sz w:val="24"/>
          <w:szCs w:val="24"/>
          <w:highlight w:val="none"/>
          <w:lang w:val="en-US" w:eastAsia="zh-CN" w:bidi="en-US"/>
        </w:rPr>
        <w:t>不锈钢建造双钨极热丝TIG焊施工工艺</w:t>
      </w:r>
      <w:r>
        <w:rPr>
          <w:rFonts w:hint="eastAsia" w:ascii="宋体" w:hAnsi="宋体" w:eastAsia="宋体" w:cs="宋体"/>
          <w:kern w:val="0"/>
          <w:sz w:val="24"/>
          <w:szCs w:val="24"/>
          <w:highlight w:val="none"/>
          <w:lang w:eastAsia="zh-CN" w:bidi="en-US"/>
        </w:rPr>
        <w:t>的应用情况进行了研究和调研，基于以上研究和调研分析，课题组初步形成了标准</w:t>
      </w:r>
      <w:r>
        <w:rPr>
          <w:rFonts w:hint="eastAsia" w:ascii="宋体" w:hAnsi="宋体" w:eastAsia="宋体" w:cs="宋体"/>
          <w:kern w:val="0"/>
          <w:sz w:val="24"/>
          <w:szCs w:val="24"/>
          <w:highlight w:val="none"/>
          <w:lang w:val="en-US" w:eastAsia="zh-CN" w:bidi="en-US"/>
        </w:rPr>
        <w:t>编写</w:t>
      </w:r>
      <w:r>
        <w:rPr>
          <w:rFonts w:hint="eastAsia" w:cs="宋体"/>
          <w:kern w:val="0"/>
          <w:sz w:val="24"/>
          <w:szCs w:val="24"/>
          <w:highlight w:val="none"/>
          <w:lang w:val="en-US" w:eastAsia="zh-CN" w:bidi="en-US"/>
        </w:rPr>
        <w:t>方案</w:t>
      </w:r>
      <w:r>
        <w:rPr>
          <w:rFonts w:hint="eastAsia" w:ascii="宋体" w:hAnsi="宋体" w:eastAsia="宋体" w:cs="宋体"/>
          <w:kern w:val="0"/>
          <w:sz w:val="24"/>
          <w:szCs w:val="24"/>
          <w:highlight w:val="none"/>
          <w:lang w:eastAsia="zh-CN" w:bidi="en-US"/>
        </w:rPr>
        <w:t>，基于标准</w:t>
      </w:r>
      <w:r>
        <w:rPr>
          <w:rFonts w:hint="eastAsia" w:cs="宋体"/>
          <w:kern w:val="0"/>
          <w:sz w:val="24"/>
          <w:szCs w:val="24"/>
          <w:highlight w:val="none"/>
          <w:lang w:val="en-US" w:eastAsia="zh-CN" w:bidi="en-US"/>
        </w:rPr>
        <w:t>草案编写</w:t>
      </w:r>
      <w:r>
        <w:rPr>
          <w:rFonts w:hint="eastAsia" w:ascii="宋体" w:hAnsi="宋体" w:eastAsia="宋体" w:cs="宋体"/>
          <w:kern w:val="0"/>
          <w:sz w:val="24"/>
          <w:szCs w:val="24"/>
          <w:highlight w:val="none"/>
          <w:lang w:eastAsia="zh-CN" w:bidi="en-US"/>
        </w:rPr>
        <w:t>总体方案，课题组完成了《核工程不锈钢覆面建造双钨极+热丝TIG自动焊施工工艺标准》</w:t>
      </w:r>
      <w:r>
        <w:rPr>
          <w:rFonts w:hint="eastAsia" w:cs="宋体"/>
          <w:kern w:val="0"/>
          <w:sz w:val="24"/>
          <w:szCs w:val="24"/>
          <w:highlight w:val="none"/>
          <w:lang w:val="en-US" w:eastAsia="zh-CN" w:bidi="en-US"/>
        </w:rPr>
        <w:t>初稿编制</w:t>
      </w:r>
      <w:r>
        <w:rPr>
          <w:rFonts w:hint="eastAsia" w:cs="宋体"/>
          <w:kern w:val="0"/>
          <w:sz w:val="24"/>
          <w:szCs w:val="24"/>
          <w:highlight w:val="none"/>
          <w:lang w:eastAsia="zh-CN" w:bidi="en-US"/>
        </w:rPr>
        <w:t>。</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default" w:ascii="宋体" w:hAnsi="宋体" w:eastAsia="宋体" w:cs="宋体"/>
          <w:kern w:val="0"/>
          <w:sz w:val="24"/>
          <w:szCs w:val="24"/>
          <w:highlight w:val="none"/>
          <w:lang w:val="en-US" w:eastAsia="zh-CN" w:bidi="en-US"/>
        </w:rPr>
      </w:pPr>
      <w:r>
        <w:rPr>
          <w:rFonts w:hint="eastAsia" w:ascii="宋体" w:hAnsi="宋体" w:eastAsia="宋体" w:cs="宋体"/>
          <w:kern w:val="0"/>
          <w:sz w:val="24"/>
          <w:szCs w:val="24"/>
          <w:highlight w:val="none"/>
          <w:lang w:val="en-US" w:eastAsia="zh-CN" w:bidi="en-US"/>
        </w:rPr>
        <w:t>本标准</w:t>
      </w:r>
      <w:r>
        <w:rPr>
          <w:rFonts w:hint="eastAsia" w:cs="宋体"/>
          <w:kern w:val="0"/>
          <w:sz w:val="24"/>
          <w:szCs w:val="24"/>
          <w:highlight w:val="none"/>
          <w:lang w:val="en-US" w:eastAsia="zh-CN" w:bidi="en-US"/>
        </w:rPr>
        <w:t>于</w:t>
      </w:r>
      <w:r>
        <w:rPr>
          <w:rFonts w:hint="eastAsia" w:ascii="宋体" w:hAnsi="宋体" w:eastAsia="宋体" w:cs="宋体"/>
          <w:kern w:val="0"/>
          <w:sz w:val="24"/>
          <w:szCs w:val="24"/>
          <w:highlight w:val="none"/>
          <w:lang w:val="en-US" w:eastAsia="zh-CN" w:bidi="en-US"/>
        </w:rPr>
        <w:t>2022</w:t>
      </w:r>
      <w:r>
        <w:rPr>
          <w:rFonts w:hint="eastAsia" w:cs="宋体"/>
          <w:kern w:val="0"/>
          <w:sz w:val="24"/>
          <w:szCs w:val="24"/>
          <w:highlight w:val="none"/>
          <w:lang w:val="en-US" w:eastAsia="zh-CN" w:bidi="en-US"/>
        </w:rPr>
        <w:t>年</w:t>
      </w:r>
      <w:r>
        <w:rPr>
          <w:rFonts w:hint="eastAsia" w:ascii="宋体" w:hAnsi="宋体" w:eastAsia="宋体" w:cs="宋体"/>
          <w:kern w:val="0"/>
          <w:sz w:val="24"/>
          <w:szCs w:val="24"/>
          <w:highlight w:val="none"/>
          <w:lang w:val="en-US" w:eastAsia="zh-CN" w:bidi="en-US"/>
        </w:rPr>
        <w:t>07</w:t>
      </w:r>
      <w:r>
        <w:rPr>
          <w:rFonts w:hint="eastAsia" w:cs="宋体"/>
          <w:kern w:val="0"/>
          <w:sz w:val="24"/>
          <w:szCs w:val="24"/>
          <w:highlight w:val="none"/>
          <w:lang w:val="en-US" w:eastAsia="zh-CN" w:bidi="en-US"/>
        </w:rPr>
        <w:t>月</w:t>
      </w:r>
      <w:r>
        <w:rPr>
          <w:rFonts w:hint="eastAsia" w:ascii="宋体" w:hAnsi="宋体" w:eastAsia="宋体" w:cs="宋体"/>
          <w:kern w:val="0"/>
          <w:sz w:val="24"/>
          <w:szCs w:val="24"/>
          <w:highlight w:val="none"/>
          <w:lang w:val="en-US" w:eastAsia="zh-CN" w:bidi="en-US"/>
        </w:rPr>
        <w:t>08完成形式审查</w:t>
      </w:r>
      <w:r>
        <w:rPr>
          <w:rFonts w:hint="eastAsia" w:cs="宋体"/>
          <w:kern w:val="0"/>
          <w:sz w:val="24"/>
          <w:szCs w:val="24"/>
          <w:highlight w:val="none"/>
          <w:lang w:val="en-US" w:eastAsia="zh-CN" w:bidi="en-US"/>
        </w:rPr>
        <w:t>，</w:t>
      </w:r>
      <w:r>
        <w:rPr>
          <w:rFonts w:hint="eastAsia" w:ascii="宋体" w:hAnsi="宋体" w:eastAsia="宋体" w:cs="宋体"/>
          <w:kern w:val="0"/>
          <w:sz w:val="24"/>
          <w:szCs w:val="24"/>
          <w:highlight w:val="none"/>
          <w:lang w:val="en-US" w:eastAsia="zh-CN" w:bidi="en-US"/>
        </w:rPr>
        <w:t>7月21日</w:t>
      </w:r>
      <w:r>
        <w:rPr>
          <w:rFonts w:hint="eastAsia" w:cs="宋体"/>
          <w:kern w:val="0"/>
          <w:sz w:val="24"/>
          <w:szCs w:val="24"/>
          <w:highlight w:val="none"/>
          <w:lang w:val="en-US" w:eastAsia="zh-CN" w:bidi="en-US"/>
        </w:rPr>
        <w:t>组织进行了</w:t>
      </w:r>
      <w:r>
        <w:rPr>
          <w:rFonts w:hint="eastAsia" w:ascii="宋体" w:hAnsi="宋体" w:eastAsia="宋体" w:cs="宋体"/>
          <w:kern w:val="0"/>
          <w:sz w:val="24"/>
          <w:szCs w:val="24"/>
          <w:highlight w:val="none"/>
          <w:lang w:val="en-US" w:eastAsia="zh-CN" w:bidi="en-US"/>
        </w:rPr>
        <w:t>立项评审</w:t>
      </w:r>
      <w:r>
        <w:rPr>
          <w:rFonts w:hint="eastAsia" w:cs="宋体"/>
          <w:kern w:val="0"/>
          <w:sz w:val="24"/>
          <w:szCs w:val="24"/>
          <w:highlight w:val="none"/>
          <w:lang w:val="en-US" w:eastAsia="zh-CN" w:bidi="en-US"/>
        </w:rPr>
        <w:t>，并通过了立项评审。工作</w:t>
      </w:r>
      <w:r>
        <w:rPr>
          <w:rFonts w:hint="eastAsia" w:ascii="宋体" w:hAnsi="宋体" w:eastAsia="宋体" w:cs="宋体"/>
          <w:kern w:val="0"/>
          <w:sz w:val="24"/>
          <w:szCs w:val="24"/>
          <w:highlight w:val="none"/>
          <w:lang w:val="en-US" w:eastAsia="zh-CN" w:bidi="en-US"/>
        </w:rPr>
        <w:t>组根据评审会专家意见进行</w:t>
      </w:r>
      <w:r>
        <w:rPr>
          <w:rFonts w:hint="eastAsia" w:cs="宋体"/>
          <w:kern w:val="0"/>
          <w:sz w:val="24"/>
          <w:szCs w:val="24"/>
          <w:highlight w:val="none"/>
          <w:lang w:val="en-US" w:eastAsia="zh-CN" w:bidi="en-US"/>
        </w:rPr>
        <w:t>标准名称及章节内容细</w:t>
      </w:r>
      <w:r>
        <w:rPr>
          <w:rFonts w:hint="eastAsia" w:ascii="宋体" w:hAnsi="宋体" w:eastAsia="宋体" w:cs="宋体"/>
          <w:kern w:val="0"/>
          <w:sz w:val="24"/>
          <w:szCs w:val="24"/>
          <w:highlight w:val="none"/>
          <w:lang w:val="en-US" w:eastAsia="zh-CN" w:bidi="en-US"/>
        </w:rPr>
        <w:t>节的修改，形成了《核工程不锈钢建造双钨极热丝TIG焊施工工艺规程》标准草案。</w:t>
      </w:r>
    </w:p>
    <w:p>
      <w:pPr>
        <w:keepNext w:val="0"/>
        <w:keepLines w:val="0"/>
        <w:pageBreakBefore w:val="0"/>
        <w:widowControl/>
        <w:numPr>
          <w:ilvl w:val="0"/>
          <w:numId w:val="2"/>
        </w:numPr>
        <w:suppressLineNumbers w:val="0"/>
        <w:kinsoku/>
        <w:wordWrap/>
        <w:overflowPunct/>
        <w:topLinePunct w:val="0"/>
        <w:autoSpaceDE/>
        <w:autoSpaceDN/>
        <w:bidi w:val="0"/>
        <w:adjustRightInd/>
        <w:snapToGrid/>
        <w:ind w:left="425" w:leftChars="0" w:hanging="425" w:firstLineChars="0"/>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征求意见阶段</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kern w:val="0"/>
          <w:sz w:val="24"/>
          <w:szCs w:val="24"/>
          <w:lang w:eastAsia="zh-CN" w:bidi="en-US"/>
        </w:rPr>
      </w:pPr>
      <w:r>
        <w:rPr>
          <w:rFonts w:hint="eastAsia" w:ascii="宋体" w:hAnsi="宋体" w:eastAsia="宋体" w:cs="宋体"/>
          <w:kern w:val="0"/>
          <w:sz w:val="24"/>
          <w:szCs w:val="24"/>
          <w:lang w:val="en-US" w:eastAsia="zh-CN" w:bidi="en-US"/>
        </w:rPr>
        <w:t>征求意见待反馈。</w:t>
      </w:r>
    </w:p>
    <w:p>
      <w:pPr>
        <w:rPr>
          <w:b/>
        </w:rPr>
      </w:pPr>
      <w:r>
        <w:rPr>
          <w:rFonts w:hint="eastAsia"/>
          <w:b/>
        </w:rPr>
        <w:t>3、</w:t>
      </w:r>
      <w:r>
        <w:rPr>
          <w:b/>
        </w:rPr>
        <w:t>主要参加单位和工作组成员及其所作的工作等</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本部分起草单位：中国核工业华兴建设有限公司、中广核工程有限公司、中国核电工程有限公司。</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本标准起草人：</w:t>
      </w:r>
      <w:r>
        <w:rPr>
          <w:rFonts w:hint="eastAsia"/>
          <w:highlight w:val="none"/>
        </w:rPr>
        <w:t>程小华</w:t>
      </w:r>
      <w:r>
        <w:rPr>
          <w:highlight w:val="none"/>
        </w:rPr>
        <w:t>、</w:t>
      </w:r>
      <w:r>
        <w:rPr>
          <w:rFonts w:hint="eastAsia"/>
          <w:highlight w:val="none"/>
        </w:rPr>
        <w:t>张吉斌、</w:t>
      </w:r>
      <w:r>
        <w:rPr>
          <w:rFonts w:hint="eastAsia"/>
          <w:highlight w:val="none"/>
          <w:lang w:val="en-US" w:eastAsia="zh-CN"/>
        </w:rPr>
        <w:t>邱振生、</w:t>
      </w:r>
      <w:r>
        <w:rPr>
          <w:rFonts w:hint="eastAsia"/>
          <w:highlight w:val="none"/>
        </w:rPr>
        <w:t>马桥石</w:t>
      </w:r>
      <w:r>
        <w:rPr>
          <w:rFonts w:hint="eastAsia"/>
          <w:highlight w:val="none"/>
          <w:lang w:val="en-US" w:eastAsia="zh-CN"/>
        </w:rPr>
        <w:t>、</w:t>
      </w:r>
      <w:r>
        <w:rPr>
          <w:rFonts w:hint="eastAsia"/>
          <w:highlight w:val="none"/>
        </w:rPr>
        <w:t>同李悦、</w:t>
      </w:r>
      <w:r>
        <w:rPr>
          <w:rFonts w:hint="eastAsia"/>
          <w:highlight w:val="none"/>
          <w:lang w:val="en-US" w:eastAsia="zh-CN"/>
        </w:rPr>
        <w:t>郭</w:t>
      </w:r>
      <w:bookmarkStart w:id="0" w:name="_GoBack"/>
      <w:bookmarkEnd w:id="0"/>
      <w:r>
        <w:rPr>
          <w:rFonts w:hint="eastAsia"/>
          <w:highlight w:val="none"/>
          <w:lang w:val="en-US" w:eastAsia="zh-CN"/>
        </w:rPr>
        <w:t>利峰</w:t>
      </w:r>
      <w:r>
        <w:rPr>
          <w:rFonts w:hint="eastAsia"/>
          <w:highlight w:val="none"/>
        </w:rPr>
        <w:t>、</w:t>
      </w:r>
      <w:r>
        <w:rPr>
          <w:rFonts w:hint="eastAsia"/>
          <w:highlight w:val="none"/>
          <w:lang w:val="en-US" w:eastAsia="zh-CN"/>
        </w:rPr>
        <w:t>刘扬</w:t>
      </w:r>
      <w:r>
        <w:rPr>
          <w:rFonts w:hint="eastAsia"/>
          <w:highlight w:val="none"/>
        </w:rPr>
        <w:t>、</w:t>
      </w:r>
      <w:r>
        <w:rPr>
          <w:rFonts w:hint="eastAsia"/>
          <w:highlight w:val="none"/>
          <w:lang w:val="en-US" w:eastAsia="zh-CN"/>
        </w:rPr>
        <w:t>李强、董安、项杰波、李春雨</w:t>
      </w:r>
      <w:r>
        <w:rPr>
          <w:rFonts w:hint="eastAsia"/>
          <w:highlight w:val="none"/>
        </w:rPr>
        <w:t>、</w:t>
      </w:r>
      <w:r>
        <w:rPr>
          <w:rFonts w:hint="eastAsia"/>
          <w:highlight w:val="none"/>
          <w:lang w:val="en-US" w:eastAsia="zh-CN"/>
        </w:rPr>
        <w:t>李瑞元</w:t>
      </w:r>
      <w:r>
        <w:rPr>
          <w:rFonts w:hint="eastAsia"/>
          <w:highlight w:val="none"/>
          <w:lang w:eastAsia="zh-CN"/>
        </w:rPr>
        <w:t>、</w:t>
      </w:r>
      <w:r>
        <w:rPr>
          <w:rFonts w:hint="eastAsia"/>
          <w:highlight w:val="none"/>
          <w:lang w:val="en-US" w:eastAsia="zh-CN"/>
        </w:rPr>
        <w:t>顾霞、孙广、王宁、</w:t>
      </w:r>
      <w:r>
        <w:rPr>
          <w:rFonts w:hint="eastAsia"/>
          <w:highlight w:val="none"/>
        </w:rPr>
        <w:t>童守明</w:t>
      </w:r>
      <w:r>
        <w:rPr>
          <w:rFonts w:hint="eastAsia"/>
          <w:highlight w:val="none"/>
          <w:lang w:val="en-US" w:eastAsia="zh-CN"/>
        </w:rPr>
        <w:t>、费松、蒋久奇、孙志红、张文风、李添添</w:t>
      </w:r>
      <w:r>
        <w:rPr>
          <w:rFonts w:hint="eastAsia" w:ascii="宋体" w:hAnsi="宋体" w:eastAsia="宋体" w:cs="宋体"/>
          <w:kern w:val="0"/>
          <w:sz w:val="24"/>
          <w:szCs w:val="24"/>
          <w:lang w:val="en-US" w:eastAsia="zh-CN" w:bidi="en-US"/>
        </w:rPr>
        <w:t>。</w:t>
      </w:r>
    </w:p>
    <w:p>
      <w:pPr>
        <w:keepNext w:val="0"/>
        <w:keepLines w:val="0"/>
        <w:pageBreakBefore w:val="0"/>
        <w:widowControl w:val="0"/>
        <w:kinsoku/>
        <w:wordWrap/>
        <w:overflowPunct/>
        <w:topLinePunct w:val="0"/>
        <w:autoSpaceDE/>
        <w:autoSpaceDN/>
        <w:bidi w:val="0"/>
        <w:adjustRightInd w:val="0"/>
        <w:snapToGrid w:val="0"/>
        <w:spacing w:after="0" w:line="360" w:lineRule="auto"/>
        <w:ind w:left="480" w:leftChars="200" w:firstLine="0" w:firstLineChars="0"/>
        <w:jc w:val="both"/>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其中</w:t>
      </w:r>
      <w:r>
        <w:rPr>
          <w:rFonts w:hint="eastAsia" w:cs="宋体"/>
          <w:kern w:val="0"/>
          <w:sz w:val="24"/>
          <w:szCs w:val="24"/>
          <w:lang w:val="en-US" w:eastAsia="zh-CN" w:bidi="en-US"/>
        </w:rPr>
        <w:t>：</w:t>
      </w:r>
      <w:r>
        <w:rPr>
          <w:rFonts w:hint="eastAsia" w:ascii="宋体" w:hAnsi="宋体" w:eastAsia="宋体" w:cs="宋体"/>
          <w:kern w:val="0"/>
          <w:sz w:val="24"/>
          <w:szCs w:val="24"/>
          <w:lang w:val="en-US" w:eastAsia="zh-CN" w:bidi="en-US"/>
        </w:rPr>
        <w:br w:type="textWrapping"/>
      </w:r>
      <w:r>
        <w:rPr>
          <w:rFonts w:hint="eastAsia" w:ascii="宋体" w:hAnsi="宋体" w:eastAsia="宋体" w:cs="宋体"/>
          <w:kern w:val="0"/>
          <w:sz w:val="24"/>
          <w:szCs w:val="24"/>
          <w:lang w:val="en-US" w:eastAsia="zh-CN" w:bidi="en-US"/>
        </w:rPr>
        <w:t>程小华为课题负责人，负责牵头组织本标准课题的开展；</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both"/>
        <w:textAlignment w:val="auto"/>
        <w:rPr>
          <w:rFonts w:hint="eastAsia" w:cs="宋体"/>
          <w:kern w:val="0"/>
          <w:sz w:val="24"/>
          <w:szCs w:val="24"/>
          <w:lang w:val="en-US" w:eastAsia="zh-CN" w:bidi="en-US"/>
        </w:rPr>
      </w:pPr>
      <w:r>
        <w:rPr>
          <w:rFonts w:hint="eastAsia" w:ascii="宋体" w:hAnsi="宋体" w:eastAsia="宋体" w:cs="宋体"/>
          <w:kern w:val="0"/>
          <w:sz w:val="24"/>
          <w:szCs w:val="24"/>
          <w:lang w:val="en-US" w:eastAsia="zh-CN" w:bidi="en-US"/>
        </w:rPr>
        <w:t>同李悦主要负责标准正文及其相关内容的编写、修订</w:t>
      </w:r>
      <w:r>
        <w:rPr>
          <w:rFonts w:hint="eastAsia" w:cs="宋体"/>
          <w:kern w:val="0"/>
          <w:sz w:val="24"/>
          <w:szCs w:val="24"/>
          <w:lang w:val="en-US" w:eastAsia="zh-CN" w:bidi="en-US"/>
        </w:rPr>
        <w:t>；</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宋体" w:hAnsi="宋体" w:eastAsia="宋体" w:cs="宋体"/>
          <w:kern w:val="0"/>
          <w:sz w:val="24"/>
          <w:szCs w:val="24"/>
          <w:lang w:val="en-US" w:eastAsia="zh-CN" w:bidi="en-US"/>
        </w:rPr>
      </w:pPr>
      <w:r>
        <w:rPr>
          <w:rFonts w:hint="eastAsia"/>
          <w:highlight w:val="none"/>
        </w:rPr>
        <w:t>张吉斌、</w:t>
      </w:r>
      <w:r>
        <w:rPr>
          <w:rFonts w:hint="eastAsia"/>
          <w:highlight w:val="none"/>
          <w:lang w:val="en-US" w:eastAsia="zh-CN"/>
        </w:rPr>
        <w:t>邱振生、</w:t>
      </w:r>
      <w:r>
        <w:rPr>
          <w:rFonts w:hint="eastAsia"/>
          <w:highlight w:val="none"/>
        </w:rPr>
        <w:t>马桥石、</w:t>
      </w:r>
      <w:r>
        <w:rPr>
          <w:rFonts w:hint="eastAsia"/>
          <w:highlight w:val="none"/>
          <w:lang w:val="en-US" w:eastAsia="zh-CN"/>
        </w:rPr>
        <w:t>郭利峰、刘扬</w:t>
      </w:r>
      <w:r>
        <w:rPr>
          <w:rFonts w:hint="eastAsia"/>
          <w:highlight w:val="none"/>
        </w:rPr>
        <w:t>、</w:t>
      </w:r>
      <w:r>
        <w:rPr>
          <w:rFonts w:hint="eastAsia"/>
          <w:highlight w:val="none"/>
          <w:lang w:val="en-US" w:eastAsia="zh-CN"/>
        </w:rPr>
        <w:t>李强、董安、项杰波、李春雨</w:t>
      </w:r>
      <w:r>
        <w:rPr>
          <w:rFonts w:hint="eastAsia"/>
          <w:highlight w:val="none"/>
        </w:rPr>
        <w:t>、</w:t>
      </w:r>
      <w:r>
        <w:rPr>
          <w:rFonts w:hint="eastAsia"/>
          <w:highlight w:val="none"/>
          <w:lang w:val="en-US" w:eastAsia="zh-CN"/>
        </w:rPr>
        <w:t>李瑞元</w:t>
      </w:r>
      <w:r>
        <w:rPr>
          <w:rFonts w:hint="eastAsia"/>
          <w:highlight w:val="none"/>
          <w:lang w:eastAsia="zh-CN"/>
        </w:rPr>
        <w:t>、</w:t>
      </w:r>
      <w:r>
        <w:rPr>
          <w:rFonts w:hint="eastAsia"/>
          <w:highlight w:val="none"/>
          <w:lang w:val="en-US" w:eastAsia="zh-CN"/>
        </w:rPr>
        <w:t>顾霞、孙广、王宁、</w:t>
      </w:r>
      <w:r>
        <w:rPr>
          <w:rFonts w:hint="eastAsia"/>
          <w:highlight w:val="none"/>
        </w:rPr>
        <w:t>童守明</w:t>
      </w:r>
      <w:r>
        <w:rPr>
          <w:rFonts w:hint="eastAsia"/>
          <w:highlight w:val="none"/>
          <w:lang w:val="en-US" w:eastAsia="zh-CN"/>
        </w:rPr>
        <w:t>、费松、蒋久奇、孙志红、张文风、李添添</w:t>
      </w:r>
      <w:r>
        <w:rPr>
          <w:rFonts w:hint="eastAsia" w:ascii="宋体" w:hAnsi="宋体" w:eastAsia="宋体" w:cs="宋体"/>
          <w:kern w:val="0"/>
          <w:sz w:val="24"/>
          <w:szCs w:val="24"/>
          <w:lang w:val="en-US" w:eastAsia="zh-CN" w:bidi="en-US"/>
        </w:rPr>
        <w:t>分别参与部分章节的编写。</w:t>
      </w:r>
    </w:p>
    <w:p>
      <w:pPr>
        <w:outlineLvl w:val="0"/>
        <w:rPr>
          <w:b/>
          <w:sz w:val="28"/>
          <w:szCs w:val="28"/>
        </w:rPr>
      </w:pPr>
      <w:r>
        <w:rPr>
          <w:rFonts w:hint="eastAsia"/>
          <w:b/>
          <w:sz w:val="28"/>
          <w:szCs w:val="28"/>
        </w:rPr>
        <w:t>二、标准编制原则和主要内容</w:t>
      </w:r>
    </w:p>
    <w:p>
      <w:pPr>
        <w:rPr>
          <w:b/>
        </w:rPr>
      </w:pPr>
      <w:r>
        <w:rPr>
          <w:rFonts w:hint="eastAsia"/>
          <w:b/>
        </w:rPr>
        <w:t>1、标准编制原则</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本标准的修订符合核电行业设备可靠性评价方法发展的原则，本着先进性、科学性、合理性和可操作性的原则以及标准的目标、统一性、协调性、实用性、一致性和规范性原则来进行本标准的制定工作。</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（1）科学性</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kern w:val="0"/>
          <w:sz w:val="24"/>
          <w:szCs w:val="24"/>
          <w:lang w:val="en-US" w:eastAsia="zh-CN" w:bidi="en-US"/>
        </w:rPr>
      </w:pPr>
      <w:r>
        <w:rPr>
          <w:rFonts w:hint="eastAsia" w:cs="宋体"/>
          <w:kern w:val="0"/>
          <w:sz w:val="24"/>
          <w:szCs w:val="24"/>
          <w:lang w:val="en-US" w:eastAsia="zh-CN" w:bidi="en-US"/>
        </w:rPr>
        <w:t>针对不锈钢焊接施工对核工程不锈钢双钨极热丝TIG焊工艺进行研究，并在核工程中进行推广应用，结合多核电建造应用经验及核工程不锈钢焊接施工技术条件进行</w:t>
      </w:r>
      <w:r>
        <w:rPr>
          <w:rFonts w:hint="eastAsia" w:ascii="宋体" w:hAnsi="宋体" w:eastAsia="宋体" w:cs="宋体"/>
          <w:kern w:val="0"/>
          <w:sz w:val="24"/>
          <w:szCs w:val="24"/>
          <w:lang w:val="en-US" w:eastAsia="zh-CN" w:bidi="en-US"/>
        </w:rPr>
        <w:t>本团体标准进行编写。</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（2）实用性</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本标准规定了核工程不锈钢建造双钨极热丝TIG焊施工</w:t>
      </w:r>
      <w:r>
        <w:rPr>
          <w:rFonts w:hint="eastAsia" w:cs="宋体"/>
          <w:kern w:val="0"/>
          <w:sz w:val="24"/>
          <w:szCs w:val="24"/>
          <w:lang w:val="en-US" w:eastAsia="zh-CN" w:bidi="en-US"/>
        </w:rPr>
        <w:t>全流程工艺要求</w:t>
      </w:r>
      <w:r>
        <w:rPr>
          <w:rFonts w:hint="eastAsia" w:ascii="宋体" w:hAnsi="宋体" w:eastAsia="宋体" w:cs="宋体"/>
          <w:kern w:val="0"/>
          <w:sz w:val="24"/>
          <w:szCs w:val="24"/>
          <w:lang w:val="en-US" w:eastAsia="zh-CN" w:bidi="en-US"/>
        </w:rPr>
        <w:t>，包括</w:t>
      </w:r>
      <w:r>
        <w:rPr>
          <w:rFonts w:hint="eastAsia" w:cs="宋体"/>
          <w:kern w:val="0"/>
          <w:sz w:val="24"/>
          <w:szCs w:val="24"/>
          <w:lang w:val="en-US" w:eastAsia="zh-CN" w:bidi="en-US"/>
        </w:rPr>
        <w:t>标准适用的</w:t>
      </w:r>
      <w:r>
        <w:rPr>
          <w:rFonts w:hint="eastAsia" w:ascii="宋体" w:hAnsi="宋体" w:eastAsia="宋体" w:cs="宋体"/>
          <w:kern w:val="0"/>
          <w:sz w:val="24"/>
          <w:szCs w:val="24"/>
          <w:lang w:val="en-US" w:eastAsia="zh-CN" w:bidi="en-US"/>
        </w:rPr>
        <w:t>范围</w:t>
      </w:r>
      <w:r>
        <w:rPr>
          <w:rFonts w:hint="eastAsia" w:cs="宋体"/>
          <w:kern w:val="0"/>
          <w:sz w:val="24"/>
          <w:szCs w:val="24"/>
          <w:lang w:val="en-US" w:eastAsia="zh-CN" w:bidi="en-US"/>
        </w:rPr>
        <w:t>、材料的选择、工艺原理、施工准备及施工流程及具体施工方法，</w:t>
      </w:r>
      <w:r>
        <w:rPr>
          <w:rFonts w:hint="eastAsia" w:ascii="宋体" w:hAnsi="宋体" w:eastAsia="宋体" w:cs="宋体"/>
          <w:kern w:val="0"/>
          <w:sz w:val="24"/>
          <w:szCs w:val="24"/>
          <w:lang w:val="en-US" w:eastAsia="zh-CN" w:bidi="en-US"/>
        </w:rPr>
        <w:t>为核工程不锈钢</w:t>
      </w:r>
      <w:r>
        <w:rPr>
          <w:rFonts w:hint="eastAsia" w:cs="宋体"/>
          <w:kern w:val="0"/>
          <w:sz w:val="24"/>
          <w:szCs w:val="24"/>
          <w:lang w:val="en-US" w:eastAsia="zh-CN" w:bidi="en-US"/>
        </w:rPr>
        <w:t>焊接施工</w:t>
      </w:r>
      <w:r>
        <w:rPr>
          <w:rFonts w:hint="eastAsia" w:ascii="宋体" w:hAnsi="宋体" w:eastAsia="宋体" w:cs="宋体"/>
          <w:kern w:val="0"/>
          <w:sz w:val="24"/>
          <w:szCs w:val="24"/>
          <w:lang w:val="en-US" w:eastAsia="zh-CN" w:bidi="en-US"/>
        </w:rPr>
        <w:t>提供了</w:t>
      </w:r>
      <w:r>
        <w:rPr>
          <w:rFonts w:hint="eastAsia" w:cs="宋体"/>
          <w:kern w:val="0"/>
          <w:sz w:val="24"/>
          <w:szCs w:val="24"/>
          <w:lang w:val="en-US" w:eastAsia="zh-CN" w:bidi="en-US"/>
        </w:rPr>
        <w:t>施工方法</w:t>
      </w:r>
      <w:r>
        <w:rPr>
          <w:rFonts w:hint="eastAsia" w:ascii="宋体" w:hAnsi="宋体" w:eastAsia="宋体" w:cs="宋体"/>
          <w:kern w:val="0"/>
          <w:sz w:val="24"/>
          <w:szCs w:val="24"/>
          <w:lang w:val="en-US" w:eastAsia="zh-CN" w:bidi="en-US"/>
        </w:rPr>
        <w:t>，能有效</w:t>
      </w:r>
      <w:r>
        <w:rPr>
          <w:rFonts w:hint="eastAsia" w:cs="宋体"/>
          <w:kern w:val="0"/>
          <w:sz w:val="24"/>
          <w:szCs w:val="24"/>
          <w:lang w:val="en-US" w:eastAsia="zh-CN" w:bidi="en-US"/>
        </w:rPr>
        <w:t>地提高</w:t>
      </w:r>
      <w:r>
        <w:rPr>
          <w:rFonts w:hint="eastAsia" w:ascii="宋体" w:hAnsi="宋体" w:eastAsia="宋体" w:cs="宋体"/>
          <w:kern w:val="0"/>
          <w:sz w:val="24"/>
          <w:szCs w:val="24"/>
          <w:lang w:val="en-US" w:eastAsia="zh-CN" w:bidi="en-US"/>
        </w:rPr>
        <w:t>核工程不锈钢建造</w:t>
      </w:r>
      <w:r>
        <w:rPr>
          <w:rFonts w:hint="eastAsia" w:cs="宋体"/>
          <w:kern w:val="0"/>
          <w:sz w:val="24"/>
          <w:szCs w:val="24"/>
          <w:lang w:val="en-US" w:eastAsia="zh-CN" w:bidi="en-US"/>
        </w:rPr>
        <w:t>质量及效率，</w:t>
      </w:r>
      <w:r>
        <w:rPr>
          <w:rFonts w:hint="eastAsia" w:ascii="宋体" w:hAnsi="宋体" w:eastAsia="宋体" w:cs="宋体"/>
          <w:kern w:val="0"/>
          <w:sz w:val="24"/>
          <w:szCs w:val="24"/>
          <w:lang w:val="en-US" w:eastAsia="zh-CN" w:bidi="en-US"/>
        </w:rPr>
        <w:t>具有实用性。</w:t>
      </w:r>
    </w:p>
    <w:p>
      <w:pPr>
        <w:rPr>
          <w:b/>
        </w:rPr>
      </w:pPr>
      <w:r>
        <w:rPr>
          <w:rFonts w:hint="eastAsia"/>
          <w:b/>
        </w:rPr>
        <w:t>2、标准主要内容的依据</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本文件按照GB/T1.1-2020《标准化工作导则 第1部分：标准化文件的结构 和起草规则》的规定起草。</w:t>
      </w:r>
    </w:p>
    <w:p>
      <w:pPr>
        <w:rPr>
          <w:b/>
        </w:rPr>
      </w:pPr>
      <w:r>
        <w:rPr>
          <w:rFonts w:hint="eastAsia"/>
          <w:b/>
        </w:rPr>
        <w:t>3、解决的主要问题</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华龙一号三代核电堆型、霞浦快堆等核电堆型不锈钢工程量相比于CPR堆型大幅增加，以往在核电站不锈钢水池建造中，以传统手工氩弧焊工艺及单钨极氩弧自动焊工艺为主，传统钨极氩弧焊电弧能量密度低、焊接速度慢，若增加焊接电流，电弧压力显著提高，在较高的电弧压力下焊接时，容易造成熔池不稳，焊缝将会形成各种焊接缺陷；并且在横焊位置，由于力在电弧焊缝轴线上分布的不对称性，导致焊缝成形不对称，即由于重力作用导致下部焊缝金属过多，而上部焊缝易形成咬边、未焊满和根部未焊透等缺陷</w:t>
      </w:r>
      <w:r>
        <w:rPr>
          <w:rFonts w:hint="eastAsia" w:cs="宋体"/>
          <w:kern w:val="0"/>
          <w:sz w:val="24"/>
          <w:szCs w:val="24"/>
          <w:lang w:val="en-US" w:eastAsia="zh-CN" w:bidi="en-US"/>
        </w:rPr>
        <w:t>。</w:t>
      </w:r>
      <w:r>
        <w:rPr>
          <w:rFonts w:hint="eastAsia" w:ascii="宋体" w:hAnsi="宋体" w:eastAsia="宋体" w:cs="宋体"/>
          <w:kern w:val="0"/>
          <w:sz w:val="24"/>
          <w:szCs w:val="24"/>
          <w:lang w:val="en-US" w:eastAsia="zh-CN" w:bidi="en-US"/>
        </w:rPr>
        <w:t>核工程不锈钢焊接</w:t>
      </w:r>
      <w:r>
        <w:rPr>
          <w:rFonts w:hint="eastAsia" w:cs="宋体"/>
          <w:kern w:val="0"/>
          <w:sz w:val="24"/>
          <w:szCs w:val="24"/>
          <w:lang w:val="en-US" w:eastAsia="zh-CN" w:bidi="en-US"/>
        </w:rPr>
        <w:t>施工</w:t>
      </w:r>
      <w:r>
        <w:rPr>
          <w:rFonts w:hint="eastAsia" w:ascii="宋体" w:hAnsi="宋体" w:eastAsia="宋体" w:cs="宋体"/>
          <w:kern w:val="0"/>
          <w:sz w:val="24"/>
          <w:szCs w:val="24"/>
          <w:lang w:val="en-US" w:eastAsia="zh-CN" w:bidi="en-US"/>
        </w:rPr>
        <w:t>，传统单钨极氩弧自动焊接很难通过增大焊接电流来提高焊接效率。近年来人工成本上升，焊工紧缺，特别是核级焊工和现有焊接工艺效率低成为了制约核工程不锈钢覆面工程建造的关键因素，同时新堆型焊接量大幅增加，新技术的开发迫在眉睫。</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双钨极热丝氩弧自动焊技术在不提高电弧压力的条件下，明显提高焊丝熔化速度，从而全面提高氩弧焊的熔覆效率，同时提高核电焊接质量，降低焊工劳动强度及人员消耗。</w:t>
      </w:r>
      <w:r>
        <w:rPr>
          <w:rFonts w:hint="eastAsia" w:cs="宋体"/>
          <w:kern w:val="0"/>
          <w:sz w:val="24"/>
          <w:szCs w:val="24"/>
          <w:lang w:val="en-US" w:eastAsia="zh-CN" w:bidi="en-US"/>
        </w:rPr>
        <w:t>中国核工业华兴建设有限公司进行了</w:t>
      </w:r>
      <w:r>
        <w:rPr>
          <w:rFonts w:hint="eastAsia" w:ascii="宋体" w:hAnsi="宋体" w:eastAsia="宋体" w:cs="宋体"/>
          <w:kern w:val="0"/>
          <w:sz w:val="24"/>
          <w:szCs w:val="24"/>
          <w:lang w:val="en-US" w:eastAsia="zh-CN" w:bidi="en-US"/>
        </w:rPr>
        <w:t>双钨极热丝TIG焊</w:t>
      </w:r>
      <w:r>
        <w:rPr>
          <w:rFonts w:hint="eastAsia" w:cs="宋体"/>
          <w:kern w:val="0"/>
          <w:sz w:val="24"/>
          <w:szCs w:val="24"/>
          <w:lang w:val="en-US" w:eastAsia="zh-CN" w:bidi="en-US"/>
        </w:rPr>
        <w:t>技术的研究开发，并</w:t>
      </w:r>
      <w:r>
        <w:rPr>
          <w:rFonts w:hint="eastAsia" w:ascii="宋体" w:hAnsi="宋体" w:eastAsia="宋体" w:cs="宋体"/>
          <w:kern w:val="0"/>
          <w:sz w:val="24"/>
          <w:szCs w:val="24"/>
          <w:lang w:val="en-US" w:eastAsia="zh-CN" w:bidi="en-US"/>
        </w:rPr>
        <w:t>在霞浦快堆乏燃料水池覆面施工中进行大量的应用，通过工艺技术的研究及核工程中的大量应用，总结形成了一套成熟的核工程不锈钢建造双钨极热丝TIG焊施工工艺，具有极高的广泛应用价值。</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eastAsia="zh-CN" w:bidi="en-US"/>
        </w:rPr>
        <w:t>《核工程</w:t>
      </w:r>
      <w:r>
        <w:rPr>
          <w:rFonts w:hint="eastAsia" w:ascii="宋体" w:hAnsi="宋体" w:eastAsia="宋体" w:cs="宋体"/>
          <w:kern w:val="0"/>
          <w:sz w:val="24"/>
          <w:szCs w:val="24"/>
          <w:lang w:val="en-US" w:eastAsia="zh-CN" w:bidi="en-US"/>
        </w:rPr>
        <w:t>不锈钢建造双钨极热丝TIG焊施工工艺规程</w:t>
      </w:r>
      <w:r>
        <w:rPr>
          <w:rFonts w:hint="eastAsia" w:ascii="宋体" w:hAnsi="宋体" w:eastAsia="宋体" w:cs="宋体"/>
          <w:kern w:val="0"/>
          <w:sz w:val="24"/>
          <w:szCs w:val="24"/>
          <w:lang w:eastAsia="zh-CN" w:bidi="en-US"/>
        </w:rPr>
        <w:t>》</w:t>
      </w:r>
      <w:r>
        <w:rPr>
          <w:rFonts w:hint="eastAsia" w:cs="宋体"/>
          <w:kern w:val="0"/>
          <w:sz w:val="24"/>
          <w:szCs w:val="24"/>
          <w:lang w:val="en-US" w:eastAsia="zh-CN" w:bidi="en-US"/>
        </w:rPr>
        <w:t>的</w:t>
      </w:r>
      <w:r>
        <w:rPr>
          <w:rFonts w:hint="eastAsia" w:ascii="宋体" w:hAnsi="宋体" w:eastAsia="宋体" w:cs="宋体"/>
          <w:kern w:val="0"/>
          <w:sz w:val="24"/>
          <w:szCs w:val="24"/>
          <w:lang w:val="en-US" w:eastAsia="zh-CN" w:bidi="en-US"/>
        </w:rPr>
        <w:t>编制，</w:t>
      </w:r>
      <w:r>
        <w:rPr>
          <w:rFonts w:hint="eastAsia" w:cs="宋体"/>
          <w:kern w:val="0"/>
          <w:sz w:val="24"/>
          <w:szCs w:val="24"/>
          <w:lang w:val="en-US" w:eastAsia="zh-CN" w:bidi="en-US"/>
        </w:rPr>
        <w:t>是对工艺技术的高度提炼总结，能积极推动新技术的</w:t>
      </w:r>
      <w:r>
        <w:rPr>
          <w:rFonts w:hint="eastAsia" w:ascii="宋体" w:hAnsi="宋体" w:eastAsia="宋体" w:cs="宋体"/>
          <w:kern w:val="0"/>
          <w:sz w:val="24"/>
          <w:szCs w:val="24"/>
          <w:lang w:val="en-US" w:eastAsia="zh-CN" w:bidi="en-US"/>
        </w:rPr>
        <w:t>广泛应用，服务于“十四五”核电建造及核电“走出去”需求</w:t>
      </w:r>
      <w:r>
        <w:rPr>
          <w:rFonts w:hint="eastAsia" w:cs="宋体"/>
          <w:kern w:val="0"/>
          <w:sz w:val="24"/>
          <w:szCs w:val="24"/>
          <w:lang w:val="en-US" w:eastAsia="zh-CN" w:bidi="en-US"/>
        </w:rPr>
        <w:t>。此外，</w:t>
      </w:r>
      <w:r>
        <w:rPr>
          <w:rFonts w:hint="eastAsia" w:ascii="宋体" w:hAnsi="宋体" w:eastAsia="宋体" w:cs="宋体"/>
          <w:kern w:val="0"/>
          <w:sz w:val="24"/>
          <w:szCs w:val="24"/>
          <w:lang w:val="en-US" w:eastAsia="zh-CN" w:bidi="en-US"/>
        </w:rPr>
        <w:t>对创新技术施工工艺进行标准化、规范化，完善我国核电建造的标准体系。通过查询，国内外并无类似的工艺标准，本技术在核工程中为首次应用，并取得了良好的应用效果，为核工程建设带来了高效、高质量的施工技术，带来了巨大的经济效益和社会效益。</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default" w:ascii="Times New Roman" w:hAnsi="Times New Roman" w:eastAsia="宋体" w:cs="Times New Roman"/>
          <w:kern w:val="0"/>
          <w:sz w:val="24"/>
          <w:szCs w:val="24"/>
          <w:lang w:val="en-US" w:eastAsia="zh-CN" w:bidi="en-US"/>
        </w:rPr>
      </w:pPr>
      <w:r>
        <w:rPr>
          <w:rFonts w:hint="default" w:ascii="Times New Roman" w:hAnsi="Times New Roman" w:eastAsia="宋体" w:cs="Times New Roman"/>
          <w:kern w:val="0"/>
          <w:sz w:val="24"/>
          <w:szCs w:val="24"/>
          <w:lang w:val="en-US" w:eastAsia="zh-CN" w:bidi="en-US"/>
        </w:rPr>
        <w:t>我国自主三代核电会按照每年6~8台的核准节奏，实现规模化批量化发展。面对批量化、高质量的要求，需要高效率的建造技术，更需要对应的工艺标准支持。核电“走出去”需要完整的工艺技术及相应的工艺标准、规范，加强我国核电“走出去”的竞争优势。</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宋体" w:hAnsi="宋体" w:eastAsia="宋体" w:cs="宋体"/>
          <w:kern w:val="0"/>
          <w:sz w:val="24"/>
          <w:szCs w:val="24"/>
          <w:lang w:eastAsia="zh-CN" w:bidi="en-US"/>
        </w:rPr>
      </w:pPr>
      <w:r>
        <w:rPr>
          <w:rFonts w:hint="eastAsia" w:ascii="宋体" w:hAnsi="宋体" w:eastAsia="宋体" w:cs="宋体"/>
          <w:kern w:val="0"/>
          <w:sz w:val="24"/>
          <w:szCs w:val="24"/>
          <w:lang w:val="en-US" w:eastAsia="zh-CN" w:bidi="en-US"/>
        </w:rPr>
        <w:t>本工艺标准的形成将对我国核电建设及“走出去”将有极大的促进作用。</w:t>
      </w:r>
    </w:p>
    <w:p>
      <w:pPr>
        <w:outlineLvl w:val="0"/>
        <w:rPr>
          <w:b/>
          <w:sz w:val="28"/>
          <w:szCs w:val="28"/>
        </w:rPr>
      </w:pPr>
      <w:r>
        <w:rPr>
          <w:rFonts w:hint="eastAsia"/>
          <w:b/>
          <w:sz w:val="28"/>
          <w:szCs w:val="28"/>
        </w:rPr>
        <w:t>三、主要试验（或验证）情况</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eastAsia" w:ascii="Times New Roman" w:hAnsi="Times New Roman" w:eastAsia="宋体" w:cs="Times New Roman"/>
          <w:kern w:val="0"/>
          <w:sz w:val="24"/>
          <w:szCs w:val="24"/>
          <w:lang w:val="en-US" w:eastAsia="zh-CN" w:bidi="en-US"/>
        </w:rPr>
      </w:pPr>
      <w:r>
        <w:rPr>
          <w:rFonts w:hint="eastAsia" w:ascii="Times New Roman" w:hAnsi="Times New Roman" w:eastAsia="宋体" w:cs="Times New Roman"/>
          <w:kern w:val="0"/>
          <w:sz w:val="24"/>
          <w:szCs w:val="24"/>
          <w:lang w:val="en-US" w:eastAsia="zh-CN" w:bidi="en-US"/>
        </w:rPr>
        <w:t>《核工程不锈钢建造双钨极热丝TIG焊施工工艺规程》是在科研项目研究（中国核工业华兴建设有限公司科研项目“核工程高效（双钨极+热丝）TIG自动焊装备及工艺研究”）及大量工程应用（霞浦核电、三澳核电不锈钢工程应用）基础上进行总结提炼</w:t>
      </w:r>
      <w:r>
        <w:rPr>
          <w:rFonts w:hint="eastAsia" w:ascii="Times New Roman" w:hAnsi="Times New Roman" w:cs="Times New Roman"/>
          <w:kern w:val="0"/>
          <w:sz w:val="24"/>
          <w:szCs w:val="24"/>
          <w:lang w:val="en-US" w:eastAsia="zh-CN" w:bidi="en-US"/>
        </w:rPr>
        <w:t>，根据经验总结形成适用于</w:t>
      </w:r>
      <w:r>
        <w:rPr>
          <w:rFonts w:hint="eastAsia" w:ascii="Times New Roman" w:hAnsi="Times New Roman" w:eastAsia="宋体" w:cs="Times New Roman"/>
          <w:kern w:val="0"/>
          <w:sz w:val="24"/>
          <w:szCs w:val="24"/>
          <w:lang w:val="en-US" w:eastAsia="zh-CN" w:bidi="en-US"/>
        </w:rPr>
        <w:t>核工程不锈钢焊缝</w:t>
      </w:r>
      <w:r>
        <w:rPr>
          <w:rFonts w:hint="default" w:ascii="Times New Roman" w:hAnsi="Times New Roman" w:eastAsia="宋体" w:cs="Times New Roman"/>
          <w:kern w:val="0"/>
          <w:sz w:val="24"/>
          <w:szCs w:val="24"/>
          <w:lang w:val="en-US" w:eastAsia="zh-CN" w:bidi="en-US"/>
        </w:rPr>
        <w:t>坡口</w:t>
      </w:r>
      <w:r>
        <w:rPr>
          <w:rFonts w:hint="eastAsia" w:ascii="Times New Roman" w:hAnsi="Times New Roman" w:eastAsia="宋体" w:cs="Times New Roman"/>
          <w:kern w:val="0"/>
          <w:sz w:val="24"/>
          <w:szCs w:val="24"/>
          <w:lang w:val="en-US" w:eastAsia="zh-CN" w:bidi="en-US"/>
        </w:rPr>
        <w:t>加工表</w:t>
      </w:r>
      <w:r>
        <w:rPr>
          <w:rFonts w:hint="eastAsia" w:ascii="Times New Roman" w:hAnsi="Times New Roman" w:cs="Times New Roman"/>
          <w:kern w:val="0"/>
          <w:sz w:val="24"/>
          <w:szCs w:val="24"/>
          <w:lang w:val="en-US" w:eastAsia="zh-CN" w:bidi="en-US"/>
        </w:rPr>
        <w:t>，</w:t>
      </w:r>
      <w:r>
        <w:rPr>
          <w:rFonts w:hint="eastAsia" w:ascii="Times New Roman" w:hAnsi="Times New Roman" w:eastAsia="宋体" w:cs="Times New Roman"/>
          <w:kern w:val="0"/>
          <w:sz w:val="24"/>
          <w:szCs w:val="24"/>
          <w:lang w:val="en-US" w:eastAsia="zh-CN" w:bidi="en-US"/>
        </w:rPr>
        <w:t>相关理论及技术规范经过科研论证及工程应用的验证。</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both"/>
        <w:textAlignment w:val="auto"/>
        <w:rPr>
          <w:rFonts w:hint="default" w:ascii="Times New Roman" w:hAnsi="Times New Roman" w:eastAsia="宋体" w:cs="Times New Roman"/>
          <w:kern w:val="0"/>
          <w:sz w:val="24"/>
          <w:szCs w:val="24"/>
          <w:lang w:val="en-US" w:eastAsia="zh-CN" w:bidi="en-US"/>
        </w:rPr>
      </w:pP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default" w:ascii="宋体" w:hAnsi="宋体" w:eastAsia="宋体" w:cs="宋体"/>
          <w:color w:val="0000FF"/>
          <w:kern w:val="0"/>
          <w:sz w:val="24"/>
          <w:szCs w:val="24"/>
          <w:lang w:val="en-US" w:eastAsia="zh-CN" w:bidi="en-US"/>
        </w:rPr>
      </w:pPr>
    </w:p>
    <w:p>
      <w:pPr>
        <w:outlineLvl w:val="0"/>
        <w:rPr>
          <w:b/>
          <w:sz w:val="28"/>
          <w:szCs w:val="28"/>
        </w:rPr>
      </w:pPr>
      <w:r>
        <w:rPr>
          <w:rFonts w:hint="eastAsia"/>
          <w:b/>
          <w:sz w:val="28"/>
          <w:szCs w:val="28"/>
        </w:rPr>
        <w:t>四、标准中涉及专利的情况</w:t>
      </w:r>
    </w:p>
    <w:p>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kern w:val="0"/>
          <w:sz w:val="24"/>
          <w:szCs w:val="24"/>
          <w:lang w:val="en-US" w:eastAsia="zh-CN" w:bidi="en-US"/>
        </w:rPr>
      </w:pPr>
      <w:r>
        <w:rPr>
          <w:rFonts w:hint="eastAsia" w:ascii="宋体" w:hAnsi="宋体" w:eastAsia="宋体" w:cs="宋体"/>
          <w:kern w:val="0"/>
          <w:sz w:val="24"/>
          <w:szCs w:val="24"/>
          <w:lang w:val="en-US" w:eastAsia="zh-CN" w:bidi="en-US"/>
        </w:rPr>
        <w:t>本标准不涉及专利问题。</w:t>
      </w:r>
    </w:p>
    <w:p>
      <w:pPr>
        <w:outlineLvl w:val="0"/>
        <w:rPr>
          <w:b/>
          <w:sz w:val="28"/>
          <w:szCs w:val="28"/>
        </w:rPr>
      </w:pPr>
      <w:r>
        <w:rPr>
          <w:rFonts w:hint="eastAsia"/>
          <w:b/>
          <w:sz w:val="28"/>
          <w:szCs w:val="28"/>
        </w:rPr>
        <w:t>五、预期达到的社会效益、对产业发展的作用等情况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cs="宋体"/>
          <w:kern w:val="0"/>
          <w:sz w:val="24"/>
          <w:szCs w:val="24"/>
          <w:lang w:val="en-US" w:eastAsia="zh-CN" w:bidi="en-US"/>
        </w:rPr>
      </w:pPr>
      <w:r>
        <w:rPr>
          <w:rFonts w:hint="eastAsia" w:ascii="宋体" w:hAnsi="宋体" w:eastAsia="宋体" w:cs="宋体"/>
          <w:kern w:val="0"/>
          <w:sz w:val="24"/>
          <w:szCs w:val="24"/>
          <w:lang w:eastAsia="zh-CN" w:bidi="en-US"/>
        </w:rPr>
        <w:t>《核工程</w:t>
      </w:r>
      <w:r>
        <w:rPr>
          <w:rFonts w:hint="eastAsia" w:ascii="宋体" w:hAnsi="宋体" w:eastAsia="宋体" w:cs="宋体"/>
          <w:kern w:val="0"/>
          <w:sz w:val="24"/>
          <w:szCs w:val="24"/>
          <w:lang w:val="en-US" w:eastAsia="zh-CN" w:bidi="en-US"/>
        </w:rPr>
        <w:t>不锈钢建造双钨极热丝TIG焊施工工艺规程</w:t>
      </w:r>
      <w:r>
        <w:rPr>
          <w:rFonts w:hint="eastAsia" w:ascii="宋体" w:hAnsi="宋体" w:eastAsia="宋体" w:cs="宋体"/>
          <w:kern w:val="0"/>
          <w:sz w:val="24"/>
          <w:szCs w:val="24"/>
          <w:lang w:eastAsia="zh-CN" w:bidi="en-US"/>
        </w:rPr>
        <w:t>》</w:t>
      </w:r>
      <w:r>
        <w:rPr>
          <w:rFonts w:hint="eastAsia" w:cs="宋体"/>
          <w:kern w:val="0"/>
          <w:sz w:val="24"/>
          <w:szCs w:val="24"/>
          <w:lang w:val="en-US" w:eastAsia="zh-CN" w:bidi="en-US"/>
        </w:rPr>
        <w:t>对</w:t>
      </w:r>
      <w:r>
        <w:rPr>
          <w:rFonts w:hint="eastAsia" w:ascii="宋体" w:hAnsi="宋体" w:eastAsia="宋体" w:cs="宋体"/>
          <w:kern w:val="0"/>
          <w:sz w:val="24"/>
          <w:szCs w:val="24"/>
          <w:lang w:val="en-US" w:eastAsia="zh-CN" w:bidi="en-US"/>
        </w:rPr>
        <w:t>不锈钢建造双钨极热丝TIG焊施工工艺</w:t>
      </w:r>
      <w:r>
        <w:rPr>
          <w:rFonts w:hint="eastAsia" w:cs="宋体"/>
          <w:kern w:val="0"/>
          <w:sz w:val="24"/>
          <w:szCs w:val="24"/>
          <w:lang w:val="en-US" w:eastAsia="zh-CN" w:bidi="en-US"/>
        </w:rPr>
        <w:t>在核工程领域应用有着很强的指导意义，为高效、高质量的新技术在核工程应用提供了标准参考，对推动核电的高质量发展有着重要的意义。</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kern w:val="0"/>
          <w:sz w:val="24"/>
          <w:szCs w:val="24"/>
          <w:lang w:val="en-US" w:eastAsia="zh-CN" w:bidi="en-US"/>
        </w:rPr>
      </w:pPr>
      <w:r>
        <w:rPr>
          <w:rFonts w:hint="eastAsia" w:cs="宋体"/>
          <w:lang w:val="en-US" w:eastAsia="zh-CN"/>
        </w:rPr>
        <w:t>本标准的编制是技术的创新，对完善我国核电建造标准有着重要意义，对于国家核电“走出去”战略具有积极意义，同时对于提高核电质量、确保核电安全具有积极的促进作用。</w:t>
      </w:r>
    </w:p>
    <w:p>
      <w:pPr>
        <w:outlineLvl w:val="0"/>
        <w:rPr>
          <w:b/>
          <w:sz w:val="28"/>
          <w:szCs w:val="28"/>
        </w:rPr>
      </w:pPr>
      <w:r>
        <w:rPr>
          <w:rFonts w:hint="eastAsia"/>
          <w:b/>
          <w:sz w:val="28"/>
          <w:szCs w:val="28"/>
        </w:rPr>
        <w:t>六、与国际、国外对比情况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cs="宋体"/>
          <w:lang w:val="en-US" w:eastAsia="zh-CN"/>
        </w:rPr>
      </w:pPr>
      <w:r>
        <w:rPr>
          <w:rFonts w:hint="eastAsia" w:cs="宋体"/>
          <w:lang w:val="en-US" w:eastAsia="zh-CN"/>
        </w:rPr>
        <w:t>经过查询目前暂无“核工程不锈钢建造双钨极热丝氩弧焊施工工艺规程”及类似标准先例，本次标准申请为首次申请。本标准是新增核工程建造先进焊接技术施工工艺标准，是对现有核工程建造标准体系的进一步完善。本部分标准贯彻核安全法规精神，针对核工程不锈钢建造所要遵循的明确而细致的技术规范，标准与法规要求是协调一致的。</w:t>
      </w:r>
    </w:p>
    <w:p>
      <w:pPr>
        <w:outlineLvl w:val="0"/>
        <w:rPr>
          <w:b/>
          <w:sz w:val="28"/>
          <w:szCs w:val="28"/>
        </w:rPr>
      </w:pPr>
      <w:r>
        <w:rPr>
          <w:rFonts w:hint="eastAsia"/>
          <w:b/>
          <w:sz w:val="28"/>
          <w:szCs w:val="28"/>
        </w:rPr>
        <w:t>七、在标准体系中的位置，与现行相关法律、法规、规章及标准，特别是强制性标准的协调性</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本标准与现行相关法律、法规、规章及相关标准协调一致。</w:t>
      </w:r>
    </w:p>
    <w:p>
      <w:pPr>
        <w:outlineLvl w:val="0"/>
        <w:rPr>
          <w:b/>
          <w:sz w:val="28"/>
          <w:szCs w:val="28"/>
        </w:rPr>
      </w:pPr>
      <w:r>
        <w:rPr>
          <w:rFonts w:hint="eastAsia"/>
          <w:b/>
          <w:sz w:val="28"/>
          <w:szCs w:val="28"/>
        </w:rPr>
        <w:t>八、重大分歧意见的处理经过和依据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无</w:t>
      </w:r>
    </w:p>
    <w:p>
      <w:pPr>
        <w:outlineLvl w:val="0"/>
        <w:rPr>
          <w:b/>
          <w:sz w:val="28"/>
          <w:szCs w:val="28"/>
        </w:rPr>
      </w:pPr>
      <w:r>
        <w:rPr>
          <w:rFonts w:hint="eastAsia"/>
          <w:b/>
          <w:sz w:val="28"/>
          <w:szCs w:val="28"/>
        </w:rPr>
        <w:t>九、标准性质的建议说明</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rPr>
      </w:pPr>
      <w:r>
        <w:rPr>
          <w:rFonts w:hint="eastAsia"/>
        </w:rPr>
        <w:t>建议本标准的性质为团体标准。</w:t>
      </w:r>
    </w:p>
    <w:p>
      <w:pPr>
        <w:outlineLvl w:val="0"/>
        <w:rPr>
          <w:b/>
          <w:sz w:val="28"/>
          <w:szCs w:val="28"/>
        </w:rPr>
      </w:pPr>
      <w:r>
        <w:rPr>
          <w:rFonts w:hint="eastAsia"/>
          <w:b/>
          <w:sz w:val="28"/>
          <w:szCs w:val="28"/>
        </w:rPr>
        <w:t>十、贯彻标准的要求和措施建议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rPr>
      </w:pPr>
      <w:r>
        <w:rPr>
          <w:rFonts w:hint="eastAsia"/>
        </w:rPr>
        <w:t>标准发布后，</w:t>
      </w:r>
      <w:r>
        <w:rPr>
          <w:rFonts w:hint="eastAsia"/>
          <w:lang w:val="en-US" w:eastAsia="zh-CN"/>
        </w:rPr>
        <w:t>中国核工业华兴建设有限公司</w:t>
      </w:r>
      <w:r>
        <w:rPr>
          <w:rFonts w:hint="eastAsia"/>
        </w:rPr>
        <w:t>将配合中国核能行业协会组织行业召开标准宣贯会，开展培训活动，促进该标准更好的贯彻实施。</w:t>
      </w:r>
    </w:p>
    <w:p>
      <w:pPr>
        <w:outlineLvl w:val="0"/>
        <w:rPr>
          <w:b/>
          <w:sz w:val="28"/>
          <w:szCs w:val="28"/>
        </w:rPr>
      </w:pPr>
      <w:r>
        <w:rPr>
          <w:rFonts w:hint="eastAsia"/>
          <w:b/>
          <w:sz w:val="28"/>
          <w:szCs w:val="28"/>
        </w:rPr>
        <w:t>十一、废止现行相关标准的建议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无</w:t>
      </w:r>
    </w:p>
    <w:p>
      <w:pPr>
        <w:outlineLvl w:val="0"/>
        <w:rPr>
          <w:b/>
          <w:sz w:val="28"/>
          <w:szCs w:val="28"/>
        </w:rPr>
      </w:pPr>
      <w:r>
        <w:rPr>
          <w:rFonts w:hint="eastAsia"/>
          <w:b/>
          <w:sz w:val="28"/>
          <w:szCs w:val="28"/>
        </w:rPr>
        <w:t>十二、其他应予说明的事项</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348CE5"/>
    <w:multiLevelType w:val="singleLevel"/>
    <w:tmpl w:val="3D348CE5"/>
    <w:lvl w:ilvl="0" w:tentative="0">
      <w:start w:val="1"/>
      <w:numFmt w:val="decimal"/>
      <w:lvlText w:val="(%1)"/>
      <w:lvlJc w:val="left"/>
      <w:pPr>
        <w:ind w:left="425" w:hanging="425"/>
      </w:pPr>
      <w:rPr>
        <w:rFonts w:hint="default"/>
      </w:rPr>
    </w:lvl>
  </w:abstractNum>
  <w:abstractNum w:abstractNumId="1">
    <w:nsid w:val="646260FA"/>
    <w:multiLevelType w:val="multilevel"/>
    <w:tmpl w:val="646260FA"/>
    <w:lvl w:ilvl="0" w:tentative="0">
      <w:start w:val="1"/>
      <w:numFmt w:val="decimal"/>
      <w:pStyle w:val="1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QxZDBlZmE1NzgwZmE2NWFiZGViOTQxNWM5MzgzMWUifQ=="/>
  </w:docVars>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1CEC1215"/>
    <w:rsid w:val="23777DC8"/>
    <w:rsid w:val="28936A7B"/>
    <w:rsid w:val="341F02A8"/>
    <w:rsid w:val="3ABB71C6"/>
    <w:rsid w:val="4B707DD9"/>
    <w:rsid w:val="59FD6A8D"/>
    <w:rsid w:val="5C4F1822"/>
    <w:rsid w:val="6DF402A0"/>
    <w:rsid w:val="6E47397A"/>
    <w:rsid w:val="75120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paragraph" w:styleId="2">
    <w:name w:val="heading 3"/>
    <w:next w:val="1"/>
    <w:unhideWhenUsed/>
    <w:qFormat/>
    <w:uiPriority w:val="9"/>
    <w:pPr>
      <w:widowControl w:val="0"/>
      <w:adjustRightInd w:val="0"/>
      <w:snapToGrid w:val="0"/>
      <w:spacing w:beforeLines="25" w:after="200" w:afterLines="25" w:line="400" w:lineRule="exact"/>
      <w:ind w:left="100" w:leftChars="100"/>
      <w:outlineLvl w:val="2"/>
    </w:pPr>
    <w:rPr>
      <w:rFonts w:ascii="楷体" w:hAnsi="楷体" w:eastAsia="楷体" w:cstheme="majorBidi"/>
      <w:b/>
      <w:bCs/>
      <w:sz w:val="28"/>
      <w:szCs w:val="26"/>
      <w:lang w:val="en-US" w:eastAsia="en-US" w:bidi="en-US"/>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snapToGrid w:val="0"/>
      <w:ind w:right="210" w:rightChars="100"/>
      <w:jc w:val="right"/>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paragraph" w:customStyle="1" w:styleId="8">
    <w:name w:val="列出段落1"/>
    <w:basedOn w:val="1"/>
    <w:qFormat/>
    <w:uiPriority w:val="99"/>
    <w:pPr>
      <w:adjustRightInd/>
      <w:snapToGrid/>
      <w:spacing w:line="240" w:lineRule="auto"/>
      <w:ind w:firstLine="420"/>
      <w:jc w:val="both"/>
    </w:pPr>
    <w:rPr>
      <w:rFonts w:ascii="Calibri" w:hAnsi="Calibri" w:eastAsia="宋体"/>
      <w:kern w:val="2"/>
      <w:sz w:val="21"/>
      <w:szCs w:val="22"/>
      <w:lang w:eastAsia="zh-CN" w:bidi="ar-SA"/>
    </w:rPr>
  </w:style>
  <w:style w:type="paragraph" w:customStyle="1" w:styleId="9">
    <w:name w:val="目次、标准名称标题"/>
    <w:basedOn w:val="1"/>
    <w:next w:val="1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3">
    <w:name w:val="正文表标题"/>
    <w:next w:val="10"/>
    <w:qFormat/>
    <w:uiPriority w:val="0"/>
    <w:pPr>
      <w:numPr>
        <w:ilvl w:val="0"/>
        <w:numId w:val="1"/>
      </w:numPr>
      <w:tabs>
        <w:tab w:val="left" w:pos="360"/>
      </w:tabs>
      <w:spacing w:before="156" w:beforeLines="50" w:after="156"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2793</Words>
  <Characters>2854</Characters>
  <Lines>8</Lines>
  <Paragraphs>2</Paragraphs>
  <TotalTime>1</TotalTime>
  <ScaleCrop>false</ScaleCrop>
  <LinksUpToDate>false</LinksUpToDate>
  <CharactersWithSpaces>2857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admin</cp:lastModifiedBy>
  <dcterms:modified xsi:type="dcterms:W3CDTF">2022-11-13T16:23:51Z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4289F33D354C4E448308879DA96D65F4</vt:lpwstr>
  </property>
</Properties>
</file>